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3B19C2" w:rsidP="00C12DEE">
      <w:pPr>
        <w:pStyle w:val="Heading3"/>
        <w:tabs>
          <w:tab w:val="left" w:pos="0"/>
        </w:tabs>
        <w:rPr>
          <w:rFonts w:ascii="Times New Roman" w:hAnsi="Times New Roman"/>
          <w:sz w:val="24"/>
          <w:szCs w:val="24"/>
        </w:rPr>
      </w:pPr>
      <w:r>
        <w:rPr>
          <w:rFonts w:ascii="Times New Roman" w:hAnsi="Times New Roman"/>
          <w:sz w:val="24"/>
          <w:szCs w:val="24"/>
        </w:rPr>
        <w:t xml:space="preserve">THURSDAY, </w:t>
      </w:r>
      <w:r w:rsidR="00AD397C">
        <w:rPr>
          <w:rFonts w:ascii="Times New Roman" w:hAnsi="Times New Roman"/>
          <w:sz w:val="24"/>
          <w:szCs w:val="24"/>
        </w:rPr>
        <w:t>JULY 13</w:t>
      </w:r>
      <w:r>
        <w:rPr>
          <w:rFonts w:ascii="Times New Roman" w:hAnsi="Times New Roman"/>
          <w:sz w:val="24"/>
          <w:szCs w:val="24"/>
        </w:rPr>
        <w:t>, 2017</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695900">
        <w:rPr>
          <w:rFonts w:ascii="Times New Roman" w:hAnsi="Times New Roman"/>
          <w:b/>
          <w:bCs/>
          <w:sz w:val="24"/>
        </w:rPr>
        <w:t xml:space="preserve">OLIVER POLLOCK </w:t>
      </w:r>
      <w:r>
        <w:rPr>
          <w:rFonts w:ascii="Times New Roman" w:hAnsi="Times New Roman"/>
          <w:b/>
          <w:bCs/>
          <w:sz w:val="24"/>
        </w:rPr>
        <w:t>ROOM</w:t>
      </w:r>
    </w:p>
    <w:p w:rsidR="00E33B56" w:rsidRDefault="003B19C2" w:rsidP="00E33B56">
      <w:pPr>
        <w:tabs>
          <w:tab w:val="left" w:pos="0"/>
        </w:tabs>
        <w:jc w:val="center"/>
        <w:rPr>
          <w:rFonts w:ascii="Times New Roman" w:hAnsi="Times New Roman"/>
          <w:b/>
          <w:bCs/>
          <w:sz w:val="24"/>
        </w:rPr>
      </w:pPr>
      <w:r>
        <w:rPr>
          <w:rFonts w:ascii="Times New Roman" w:hAnsi="Times New Roman"/>
          <w:b/>
          <w:bCs/>
          <w:sz w:val="24"/>
        </w:rPr>
        <w:t>10:30 A.M.</w:t>
      </w:r>
    </w:p>
    <w:p w:rsidR="00F8252D" w:rsidRDefault="00F8252D">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3B19C2" w:rsidRDefault="003B19C2" w:rsidP="003B19C2">
      <w:pPr>
        <w:jc w:val="both"/>
        <w:rPr>
          <w:rFonts w:ascii="Times New Roman" w:hAnsi="Times New Roman"/>
          <w:b/>
          <w:bCs/>
          <w:sz w:val="22"/>
          <w:szCs w:val="22"/>
        </w:rPr>
      </w:pPr>
    </w:p>
    <w:p w:rsidR="00AD397C" w:rsidRDefault="00AD397C" w:rsidP="003B19C2">
      <w:pPr>
        <w:jc w:val="both"/>
        <w:rPr>
          <w:rFonts w:ascii="Times New Roman" w:hAnsi="Times New Roman"/>
          <w:b/>
          <w:bCs/>
          <w:sz w:val="22"/>
          <w:szCs w:val="22"/>
        </w:rPr>
      </w:pPr>
      <w:r>
        <w:rPr>
          <w:rFonts w:ascii="Times New Roman" w:hAnsi="Times New Roman"/>
          <w:b/>
          <w:bCs/>
          <w:sz w:val="22"/>
          <w:szCs w:val="22"/>
        </w:rPr>
        <w:t>Old Business</w:t>
      </w:r>
    </w:p>
    <w:p w:rsidR="00AD397C" w:rsidRDefault="00AD397C" w:rsidP="003B19C2">
      <w:pPr>
        <w:jc w:val="both"/>
        <w:rPr>
          <w:rFonts w:ascii="Times New Roman" w:hAnsi="Times New Roman"/>
          <w:b/>
          <w:bCs/>
          <w:sz w:val="22"/>
          <w:szCs w:val="22"/>
        </w:rPr>
      </w:pPr>
    </w:p>
    <w:p w:rsidR="00CA76E8" w:rsidRDefault="00CA76E8" w:rsidP="00CA76E8">
      <w:pPr>
        <w:pStyle w:val="BodyText2"/>
        <w:widowControl/>
        <w:numPr>
          <w:ilvl w:val="0"/>
          <w:numId w:val="16"/>
        </w:numPr>
        <w:autoSpaceDE/>
        <w:autoSpaceDN/>
        <w:adjustRightInd/>
        <w:jc w:val="both"/>
        <w:rPr>
          <w:rFonts w:ascii="Times New Roman" w:hAnsi="Times New Roman" w:cs="Times New Roman"/>
          <w:sz w:val="24"/>
        </w:rPr>
      </w:pPr>
      <w:r>
        <w:rPr>
          <w:rFonts w:ascii="Times New Roman" w:hAnsi="Times New Roman" w:cs="Times New Roman"/>
          <w:sz w:val="24"/>
        </w:rPr>
        <w:t xml:space="preserve">That the Advisory Board consider publication of final rule to amend Section 315 to add interest rates to be applied to deposits and Earnings Enhancements in eligible accounts for the year ending December 31, 2016. </w:t>
      </w:r>
    </w:p>
    <w:p w:rsidR="00CA76E8" w:rsidRDefault="00CA76E8" w:rsidP="00CA76E8">
      <w:pPr>
        <w:pStyle w:val="BodyText2"/>
        <w:rPr>
          <w:rFonts w:ascii="Times New Roman" w:hAnsi="Times New Roman" w:cs="Times New Roman"/>
          <w:sz w:val="24"/>
        </w:rPr>
      </w:pPr>
    </w:p>
    <w:p w:rsidR="00CA76E8" w:rsidRDefault="00CA76E8" w:rsidP="00CA76E8">
      <w:pPr>
        <w:pStyle w:val="BodyText2"/>
        <w:widowControl/>
        <w:numPr>
          <w:ilvl w:val="0"/>
          <w:numId w:val="16"/>
        </w:numPr>
        <w:autoSpaceDE/>
        <w:autoSpaceDN/>
        <w:adjustRightInd/>
        <w:jc w:val="both"/>
        <w:rPr>
          <w:rFonts w:ascii="Times New Roman" w:hAnsi="Times New Roman" w:cs="Times New Roman"/>
          <w:sz w:val="24"/>
        </w:rPr>
      </w:pPr>
      <w:r>
        <w:rPr>
          <w:rFonts w:ascii="Times New Roman" w:hAnsi="Times New Roman" w:cs="Times New Roman"/>
          <w:sz w:val="24"/>
        </w:rPr>
        <w:t xml:space="preserve">That the Advisory Board consider publication of final rule repealing the by-laws for the Louisiana Student Financial Assistance Commission (LASFAC) and converting the by-laws of the LASFAC Advisory Committee to by-laws for the LOSFA Advisory Board. </w:t>
      </w:r>
    </w:p>
    <w:p w:rsidR="00CA76E8" w:rsidRDefault="00CA76E8" w:rsidP="003B19C2">
      <w:pPr>
        <w:jc w:val="both"/>
        <w:rPr>
          <w:rFonts w:ascii="Times New Roman" w:hAnsi="Times New Roman"/>
          <w:b/>
          <w:bCs/>
          <w:sz w:val="22"/>
          <w:szCs w:val="22"/>
        </w:rPr>
      </w:pPr>
    </w:p>
    <w:p w:rsidR="003B19C2" w:rsidRPr="003B19C2" w:rsidRDefault="003B19C2" w:rsidP="003B19C2">
      <w:pPr>
        <w:jc w:val="both"/>
        <w:rPr>
          <w:rFonts w:ascii="Times New Roman" w:hAnsi="Times New Roman"/>
          <w:sz w:val="24"/>
        </w:rPr>
      </w:pPr>
      <w:r>
        <w:rPr>
          <w:rFonts w:ascii="Times New Roman" w:hAnsi="Times New Roman"/>
          <w:b/>
          <w:bCs/>
          <w:sz w:val="22"/>
          <w:szCs w:val="22"/>
        </w:rPr>
        <w:t>New</w:t>
      </w:r>
      <w:r w:rsidRPr="003B19C2">
        <w:rPr>
          <w:rFonts w:ascii="Times New Roman" w:hAnsi="Times New Roman"/>
          <w:b/>
          <w:bCs/>
          <w:sz w:val="22"/>
          <w:szCs w:val="22"/>
        </w:rPr>
        <w:t xml:space="preserve"> Business</w:t>
      </w:r>
    </w:p>
    <w:p w:rsidR="009D723E" w:rsidRDefault="009D723E" w:rsidP="009D723E">
      <w:pPr>
        <w:pStyle w:val="BodyText2"/>
        <w:widowControl/>
        <w:autoSpaceDE/>
        <w:autoSpaceDN/>
        <w:adjustRightInd/>
        <w:jc w:val="both"/>
        <w:rPr>
          <w:rFonts w:ascii="Times New Roman" w:hAnsi="Times New Roman" w:cs="Times New Roman"/>
          <w:sz w:val="24"/>
        </w:rPr>
      </w:pPr>
    </w:p>
    <w:p w:rsidR="00CA76E8" w:rsidRDefault="00CA76E8" w:rsidP="00CA76E8">
      <w:pPr>
        <w:pStyle w:val="BodyText2"/>
        <w:widowControl/>
        <w:numPr>
          <w:ilvl w:val="0"/>
          <w:numId w:val="16"/>
        </w:numPr>
        <w:autoSpaceDE/>
        <w:autoSpaceDN/>
        <w:adjustRightInd/>
        <w:jc w:val="both"/>
        <w:rPr>
          <w:rFonts w:ascii="Times New Roman" w:hAnsi="Times New Roman" w:cs="Times New Roman"/>
          <w:sz w:val="24"/>
        </w:rPr>
      </w:pPr>
      <w:r w:rsidRPr="00CA76E8">
        <w:rPr>
          <w:rFonts w:ascii="Times New Roman" w:hAnsi="Times New Roman" w:cs="Times New Roman"/>
          <w:sz w:val="24"/>
        </w:rPr>
        <w:t xml:space="preserve">That the Advisory Board review the Internal Audit Plan for SFY 2017-2018.  </w:t>
      </w:r>
    </w:p>
    <w:p w:rsidR="00CA76E8" w:rsidRDefault="00CA76E8" w:rsidP="00CA76E8">
      <w:pPr>
        <w:pStyle w:val="BodyText2"/>
        <w:widowControl/>
        <w:autoSpaceDE/>
        <w:autoSpaceDN/>
        <w:adjustRightInd/>
        <w:ind w:left="720"/>
        <w:jc w:val="both"/>
        <w:rPr>
          <w:rFonts w:ascii="Times New Roman" w:hAnsi="Times New Roman" w:cs="Times New Roman"/>
          <w:sz w:val="24"/>
        </w:rPr>
      </w:pPr>
    </w:p>
    <w:p w:rsidR="00CA76E8" w:rsidRDefault="00CA76E8" w:rsidP="00CA76E8">
      <w:pPr>
        <w:pStyle w:val="BodyText2"/>
        <w:widowControl/>
        <w:numPr>
          <w:ilvl w:val="0"/>
          <w:numId w:val="16"/>
        </w:numPr>
        <w:autoSpaceDE/>
        <w:autoSpaceDN/>
        <w:adjustRightInd/>
        <w:jc w:val="both"/>
        <w:rPr>
          <w:rFonts w:ascii="Times New Roman" w:hAnsi="Times New Roman" w:cs="Times New Roman"/>
          <w:sz w:val="24"/>
        </w:rPr>
      </w:pPr>
      <w:r>
        <w:rPr>
          <w:rFonts w:ascii="Times New Roman" w:hAnsi="Times New Roman" w:cs="Times New Roman"/>
          <w:sz w:val="24"/>
        </w:rPr>
        <w:t>That the Advisory Board consider rulemaking to amend Sections 703 and 803 of the Scholarship and Grant Program Rules to add equivalents for TOPS core curriculum courses beginning with 2018 graduates and to amend Sections 301 and 503 to implement Act 18 of the 2016 Regular Session of the Louisiana Legislature and Act 44 of the 2017 Regular Session of the Louisiana Legislature.</w:t>
      </w:r>
    </w:p>
    <w:p w:rsidR="00CA76E8" w:rsidRDefault="00CA76E8" w:rsidP="00CA76E8">
      <w:pPr>
        <w:pStyle w:val="BodyText2"/>
        <w:widowControl/>
        <w:autoSpaceDE/>
        <w:autoSpaceDN/>
        <w:adjustRightInd/>
        <w:ind w:left="720"/>
        <w:jc w:val="both"/>
        <w:rPr>
          <w:rFonts w:ascii="Times New Roman" w:hAnsi="Times New Roman" w:cs="Times New Roman"/>
          <w:sz w:val="24"/>
        </w:rPr>
      </w:pPr>
      <w:bookmarkStart w:id="0" w:name="_GoBack"/>
      <w:bookmarkEnd w:id="0"/>
    </w:p>
    <w:p w:rsidR="00704490" w:rsidRPr="00CA76E8" w:rsidRDefault="00CA76E8" w:rsidP="00CA76E8">
      <w:pPr>
        <w:pStyle w:val="BodyText2"/>
        <w:widowControl/>
        <w:numPr>
          <w:ilvl w:val="0"/>
          <w:numId w:val="16"/>
        </w:numPr>
        <w:autoSpaceDE/>
        <w:autoSpaceDN/>
        <w:adjustRightInd/>
        <w:jc w:val="both"/>
        <w:rPr>
          <w:rFonts w:ascii="Times New Roman" w:hAnsi="Times New Roman" w:cs="Times New Roman"/>
          <w:sz w:val="24"/>
        </w:rPr>
      </w:pPr>
      <w:r w:rsidRPr="00CA76E8">
        <w:rPr>
          <w:rFonts w:ascii="Times New Roman" w:hAnsi="Times New Roman" w:cs="Times New Roman"/>
          <w:sz w:val="24"/>
        </w:rPr>
        <w:t>That the Advisory Board consider the attached requests for exception to the TOPS regulatory provisions that require students to enroll full-time, to remain continuously enrolled, and to earn the required credit hours during the academic year.</w:t>
      </w:r>
    </w:p>
    <w:sectPr w:rsidR="00704490" w:rsidRPr="00CA76E8"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9E" w:rsidRDefault="00D8579E">
      <w:r>
        <w:separator/>
      </w:r>
    </w:p>
  </w:footnote>
  <w:footnote w:type="continuationSeparator" w:id="0">
    <w:p w:rsidR="00D8579E" w:rsidRDefault="00D8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1"/>
  </w:num>
  <w:num w:numId="5">
    <w:abstractNumId w:val="4"/>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5"/>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F1F"/>
    <w:rsid w:val="003F63FE"/>
    <w:rsid w:val="00403486"/>
    <w:rsid w:val="00412F22"/>
    <w:rsid w:val="00420120"/>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3962"/>
    <w:rsid w:val="00673D6D"/>
    <w:rsid w:val="0067475B"/>
    <w:rsid w:val="00681630"/>
    <w:rsid w:val="00681FE6"/>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A7E"/>
    <w:rsid w:val="00B8550C"/>
    <w:rsid w:val="00B8652A"/>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CE38418E-CD18-4382-90A4-19B84E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F1AB-E1C3-4928-B947-10C9610A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3</cp:revision>
  <cp:lastPrinted>2015-11-06T22:53:00Z</cp:lastPrinted>
  <dcterms:created xsi:type="dcterms:W3CDTF">2017-06-29T17:46:00Z</dcterms:created>
  <dcterms:modified xsi:type="dcterms:W3CDTF">2017-06-29T18:24:00Z</dcterms:modified>
</cp:coreProperties>
</file>